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27" w:rsidRPr="004215DF" w:rsidRDefault="00065D27" w:rsidP="00065D27">
      <w:pPr>
        <w:pStyle w:val="prlmnormaal"/>
      </w:pPr>
    </w:p>
    <w:tbl>
      <w:tblPr>
        <w:tblStyle w:val="Tabelraster1"/>
        <w:tblW w:w="0" w:type="auto"/>
        <w:tblLook w:val="04A0" w:firstRow="1" w:lastRow="0" w:firstColumn="1" w:lastColumn="0" w:noHBand="0" w:noVBand="1"/>
      </w:tblPr>
      <w:tblGrid>
        <w:gridCol w:w="2660"/>
        <w:gridCol w:w="2268"/>
        <w:gridCol w:w="4252"/>
      </w:tblGrid>
      <w:tr w:rsidR="00065D27" w:rsidRPr="008253BD" w:rsidTr="007B0BAD">
        <w:tc>
          <w:tcPr>
            <w:tcW w:w="2660" w:type="dxa"/>
          </w:tcPr>
          <w:p w:rsidR="00065D27" w:rsidRPr="008253BD" w:rsidRDefault="00065D27" w:rsidP="007B0BAD">
            <w:pPr>
              <w:pStyle w:val="prlmtabel"/>
            </w:pPr>
          </w:p>
        </w:tc>
        <w:tc>
          <w:tcPr>
            <w:tcW w:w="6520" w:type="dxa"/>
            <w:gridSpan w:val="2"/>
          </w:tcPr>
          <w:p w:rsidR="00065D27" w:rsidRPr="008253BD" w:rsidRDefault="00065D27" w:rsidP="007B0BAD">
            <w:pPr>
              <w:pStyle w:val="prlmtabel"/>
              <w:rPr>
                <w:b/>
              </w:rPr>
            </w:pPr>
            <w:r w:rsidRPr="008253BD">
              <w:rPr>
                <w:b/>
              </w:rPr>
              <w:t>Aanbevelingen</w:t>
            </w:r>
          </w:p>
        </w:tc>
      </w:tr>
      <w:tr w:rsidR="00065D27" w:rsidRPr="008253BD" w:rsidTr="007B0BAD">
        <w:tc>
          <w:tcPr>
            <w:tcW w:w="2660" w:type="dxa"/>
            <w:vMerge w:val="restart"/>
          </w:tcPr>
          <w:p w:rsidR="00065D27" w:rsidRPr="008253BD" w:rsidRDefault="00065D27" w:rsidP="007B0BAD">
            <w:pPr>
              <w:pStyle w:val="prlmtabel"/>
              <w:rPr>
                <w:b/>
              </w:rPr>
            </w:pPr>
            <w:r w:rsidRPr="008253BD">
              <w:rPr>
                <w:b/>
              </w:rPr>
              <w:t>Oorzaak en gevolgen van slechte mondgezondheid</w:t>
            </w:r>
          </w:p>
        </w:tc>
        <w:tc>
          <w:tcPr>
            <w:tcW w:w="6520" w:type="dxa"/>
            <w:gridSpan w:val="2"/>
          </w:tcPr>
          <w:p w:rsidR="00065D27" w:rsidRPr="008253BD" w:rsidRDefault="00065D27" w:rsidP="007B0BAD">
            <w:pPr>
              <w:pStyle w:val="prlmtabel"/>
            </w:pPr>
            <w:r w:rsidRPr="008253BD">
              <w:t>Besteed systematisch aandacht aan mondzorg bij oudere zorgafhankelijke cliënten om de kwaliteit van leven te verbeteren</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Wanneer een cliënt slecht eet of drinkt, ga dan na hoe de mondgezondheid is en behandel, indien mogelijk en gewenst de geconstateerde aandoeningen</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Personen met een gebitsprothese krijgen minstens eenmaal per jaar een controle door een tandarts</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Wanneer gebitsprothese dragers gewicht verliezen, ga dan naast de beoordeling van mogelijke oorzaken ook na of de gebitsprothese nog goed past en hoe de mondgezondheid verder is</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Om de kans op infecties op afstand als pneumonie te minimaliseren, dient de mond ten minste eenmaal daags goed gereinigd</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Inspecteer bij pijn in de mond de mondholte. Let bij cliënten die zich niet goed verbaal kunnen uitdrukken, ook op non-verbale signalen, zoals veranderd gedrag, vermindering van eetlust en gewichtsverlies</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Traceer bij slechte adem de oorzaak ervan en verhelp deze zo mogelijk</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Let bij het voorschrijven van geneesmiddelen op (bij)werkingen op de mondgezondheid</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Kijk bij aandoeningen in de mond naar de voorgeschreven geneesmiddelen</w:t>
            </w:r>
          </w:p>
        </w:tc>
      </w:tr>
      <w:tr w:rsidR="00065D27" w:rsidRPr="008253BD" w:rsidTr="007B0BAD">
        <w:tc>
          <w:tcPr>
            <w:tcW w:w="2660" w:type="dxa"/>
            <w:vMerge w:val="restart"/>
          </w:tcPr>
          <w:p w:rsidR="00065D27" w:rsidRPr="008253BD" w:rsidRDefault="00065D27" w:rsidP="007B0BAD">
            <w:pPr>
              <w:pStyle w:val="prlmtabel"/>
              <w:rPr>
                <w:b/>
              </w:rPr>
            </w:pPr>
            <w:r w:rsidRPr="008253BD">
              <w:rPr>
                <w:b/>
              </w:rPr>
              <w:t>Mon</w:t>
            </w:r>
            <w:r>
              <w:rPr>
                <w:b/>
              </w:rPr>
              <w:t>d</w:t>
            </w:r>
            <w:r w:rsidRPr="008253BD">
              <w:rPr>
                <w:b/>
              </w:rPr>
              <w:t>zorg op cliëntniveau</w:t>
            </w:r>
          </w:p>
        </w:tc>
        <w:tc>
          <w:tcPr>
            <w:tcW w:w="6520" w:type="dxa"/>
            <w:gridSpan w:val="2"/>
          </w:tcPr>
          <w:p w:rsidR="00065D27" w:rsidRPr="008253BD" w:rsidRDefault="00065D27" w:rsidP="007B0BAD">
            <w:pPr>
              <w:pStyle w:val="prlmtabel"/>
            </w:pPr>
            <w:r w:rsidRPr="008253BD">
              <w:t>Laat cliënten met een plotselinge cariëstoename dagelijks spoelen met een fluorideoplossing van 0,025-0,01%, of wekelijks met een fluorideoplossing  van 0,1%</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Bij cliënten bij wie goed tandenpoetsen niet (meer) mogelijk is, uitsluitend op voorschrift van tandarts of mondhygiënist eenmaal daags spoelen met chloorhexidine  0,12% of eenmaal daags sprayen met 0,2% chloorhexidinespray. Als dat ook niet (meer) lukt: chloorhexidinegel of chloorhexidine gedrenkt in bijvoorbeeld gaasje appliceren</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Wanneer uitvoering van reguliere mondzorg onmogelijk is door fysieke en/of gedragsproblemen van de cliënt, kan uitsluitend op voorschrift van de tandarts of mondhygiënist de eenmaal daagse applicatie van 1% chloorhexidinegel of de tweemaal daagse applicatie van 0,5% chloorhexidinegel een aanvulling zijn in de preventie van gingivitis</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Bij beginnende wortelcariës kan een tandheelkundig professional een lak van natriumfluoride en/of chloorhexidine aanbrengen. Waar mogelijk, dient uitsluitend op voorschrift van de tandarts of mondhygiënist de gebruikelijke behandeling van cariës voor een bepaalde tijd voortgezet te worden</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Mits de cliënt een elektrische tandenborstel accepteert, kan het gebruik ervan substantieel bijdragen aan een goede mondgezondheid.</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Verbeter de mondgezondheid door invoering van systematische mondverzorging</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Reduceer de kolonisatie van candida op de orale mucosa en gebitsprothesen door toepassing van systematische mondverzorging.</w:t>
            </w:r>
          </w:p>
        </w:tc>
      </w:tr>
      <w:tr w:rsidR="00065D27" w:rsidRPr="008253BD" w:rsidTr="007B0BAD">
        <w:tc>
          <w:tcPr>
            <w:tcW w:w="2660" w:type="dxa"/>
            <w:vMerge/>
          </w:tcPr>
          <w:p w:rsidR="00065D27" w:rsidRPr="008253BD" w:rsidRDefault="00065D27" w:rsidP="007B0BAD">
            <w:pPr>
              <w:pStyle w:val="prlmtabel"/>
            </w:pPr>
          </w:p>
        </w:tc>
        <w:tc>
          <w:tcPr>
            <w:tcW w:w="2268" w:type="dxa"/>
            <w:vMerge w:val="restart"/>
          </w:tcPr>
          <w:p w:rsidR="00065D27" w:rsidRPr="008253BD" w:rsidRDefault="00065D27" w:rsidP="007B0BAD">
            <w:pPr>
              <w:pStyle w:val="prlmtabel"/>
            </w:pPr>
            <w:r w:rsidRPr="0087424F">
              <w:t>Handelwijze bij hyposialie:</w:t>
            </w:r>
          </w:p>
        </w:tc>
        <w:tc>
          <w:tcPr>
            <w:tcW w:w="4252" w:type="dxa"/>
          </w:tcPr>
          <w:p w:rsidR="00065D27" w:rsidRPr="008253BD" w:rsidRDefault="00065D27" w:rsidP="007B0BAD">
            <w:pPr>
              <w:pStyle w:val="prlmtabel"/>
            </w:pPr>
            <w:r w:rsidRPr="0087424F">
              <w:t>a. neem de oorzaken weg</w:t>
            </w:r>
          </w:p>
        </w:tc>
      </w:tr>
      <w:tr w:rsidR="00065D27" w:rsidRPr="008253BD" w:rsidTr="007B0BAD">
        <w:tc>
          <w:tcPr>
            <w:tcW w:w="2660" w:type="dxa"/>
            <w:vMerge/>
          </w:tcPr>
          <w:p w:rsidR="00065D27" w:rsidRPr="008253BD" w:rsidRDefault="00065D27" w:rsidP="007B0BAD">
            <w:pPr>
              <w:pStyle w:val="prlmtabel"/>
            </w:pPr>
          </w:p>
        </w:tc>
        <w:tc>
          <w:tcPr>
            <w:tcW w:w="2268" w:type="dxa"/>
            <w:vMerge/>
          </w:tcPr>
          <w:p w:rsidR="00065D27" w:rsidRPr="008253BD" w:rsidRDefault="00065D27" w:rsidP="007B0BAD">
            <w:pPr>
              <w:pStyle w:val="prlmtabel"/>
            </w:pPr>
          </w:p>
        </w:tc>
        <w:tc>
          <w:tcPr>
            <w:tcW w:w="4252" w:type="dxa"/>
          </w:tcPr>
          <w:p w:rsidR="00065D27" w:rsidRPr="008253BD" w:rsidRDefault="00065D27" w:rsidP="007B0BAD">
            <w:pPr>
              <w:pStyle w:val="prlmtabel"/>
            </w:pPr>
            <w:r w:rsidRPr="0087424F">
              <w:t>b. wanneer dit niet lukt: stimuleer speekselsecretie bij intacte speekselklieren</w:t>
            </w:r>
          </w:p>
        </w:tc>
      </w:tr>
      <w:tr w:rsidR="00065D27" w:rsidRPr="008253BD" w:rsidTr="007B0BAD">
        <w:tc>
          <w:tcPr>
            <w:tcW w:w="2660" w:type="dxa"/>
            <w:vMerge/>
          </w:tcPr>
          <w:p w:rsidR="00065D27" w:rsidRPr="008253BD" w:rsidRDefault="00065D27" w:rsidP="007B0BAD">
            <w:pPr>
              <w:pStyle w:val="prlmtabel"/>
            </w:pPr>
          </w:p>
        </w:tc>
        <w:tc>
          <w:tcPr>
            <w:tcW w:w="2268" w:type="dxa"/>
            <w:vMerge/>
          </w:tcPr>
          <w:p w:rsidR="00065D27" w:rsidRPr="008253BD" w:rsidRDefault="00065D27" w:rsidP="007B0BAD">
            <w:pPr>
              <w:pStyle w:val="prlmtabel"/>
            </w:pPr>
          </w:p>
        </w:tc>
        <w:tc>
          <w:tcPr>
            <w:tcW w:w="4252" w:type="dxa"/>
          </w:tcPr>
          <w:p w:rsidR="00065D27" w:rsidRPr="008253BD" w:rsidRDefault="00065D27" w:rsidP="007B0BAD">
            <w:pPr>
              <w:pStyle w:val="prlmtabel"/>
            </w:pPr>
            <w:r w:rsidRPr="0087424F">
              <w:t>c. wanneer speekselklieren niet functioneren: kunstspeeksel toedienen</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Bewaar gebitsprothesen ’s nachts droog</w:t>
            </w:r>
          </w:p>
        </w:tc>
      </w:tr>
      <w:tr w:rsidR="00065D27" w:rsidRPr="008253BD" w:rsidTr="007B0BAD">
        <w:tc>
          <w:tcPr>
            <w:tcW w:w="2660" w:type="dxa"/>
            <w:vMerge w:val="restart"/>
          </w:tcPr>
          <w:p w:rsidR="00065D27" w:rsidRPr="008253BD" w:rsidRDefault="00065D27" w:rsidP="007B0BAD">
            <w:pPr>
              <w:pStyle w:val="prlmtabel"/>
              <w:rPr>
                <w:b/>
              </w:rPr>
            </w:pPr>
            <w:r w:rsidRPr="008253BD">
              <w:rPr>
                <w:b/>
              </w:rPr>
              <w:t>Mondzorg binnen de zorgstructuur</w:t>
            </w:r>
          </w:p>
        </w:tc>
        <w:tc>
          <w:tcPr>
            <w:tcW w:w="6520" w:type="dxa"/>
            <w:gridSpan w:val="2"/>
          </w:tcPr>
          <w:p w:rsidR="00065D27" w:rsidRPr="008253BD" w:rsidRDefault="00065D27" w:rsidP="007B0BAD">
            <w:pPr>
              <w:pStyle w:val="prlmtabel"/>
            </w:pPr>
            <w:r w:rsidRPr="008253BD">
              <w:t>Laat mondverzorging en professionele mondzorg een integraal onderdeel vormen van het zorgplan en het zorgdossier van de cliënt. Als zodanig vormt het een vast onderdeel in het multidisciplinair overleg. De kwaliteit van de mondzorg wordt steeds geëvalueerd in een cyclisch proces.</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De werkgroep adviseert om binnen de instelling de volgende aanpak te hanteren:</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rPr>
                <w:b/>
              </w:rPr>
            </w:pPr>
            <w:r w:rsidRPr="008253BD">
              <w:rPr>
                <w:b/>
              </w:rPr>
              <w:t>Binnen 24 uur na opname</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De verzorgende inventariseert de mondgezondheid en de zelfzorg van de cliënt en legt dit vast in een observatieformulier dat aan het zorgdossier wordt toegevoegd</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rPr>
                <w:b/>
              </w:rPr>
              <w:t xml:space="preserve">Binnen </w:t>
            </w:r>
            <w:r>
              <w:rPr>
                <w:b/>
              </w:rPr>
              <w:t>2</w:t>
            </w:r>
            <w:r w:rsidRPr="008253BD">
              <w:rPr>
                <w:b/>
              </w:rPr>
              <w:t xml:space="preserve"> weken na opname,</w:t>
            </w:r>
            <w:r w:rsidRPr="008253BD">
              <w:t xml:space="preserve"> of zoveel eerder als nodig is</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De coördinerend zorgverlener mondzorg bepaalt de mondzorgbehoefte van de cliënt. Dit gebeurt op basis van het observatieformulier van de verzorgenden en de eigen bevindingen, die ze vastlegt in een observatieformulier dat aan het zorgdossier wordt toegevoegd</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rPr>
                <w:b/>
              </w:rPr>
            </w:pPr>
            <w:r w:rsidRPr="008253BD">
              <w:rPr>
                <w:b/>
              </w:rPr>
              <w:t>Bij het opstellen van het zorgplan</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De verpleeghuisarts of coördinerend zorgverlener mondzorg beoordeelt de relatie tussen de mondgezondheid van de cliënt en de aandoeningen waarvoor de verpleeghuisarts de medische zorg biedt. Indien deze relatie er is, wordt dit vastgelegd in het mondzorgplan en besproken met de tandarts. Verder overlegt de verpleeghuisarts met de tandarts over de geschiktheid van de tandheelkundige interventies in relatie tot de wensen van de cliënt en de prognose van zijn aandoeningen</w:t>
            </w:r>
          </w:p>
        </w:tc>
      </w:tr>
      <w:tr w:rsidR="00065D27" w:rsidRPr="008253BD" w:rsidTr="007B0BAD">
        <w:tc>
          <w:tcPr>
            <w:tcW w:w="2660" w:type="dxa"/>
            <w:vMerge/>
          </w:tcPr>
          <w:p w:rsidR="00065D27" w:rsidRPr="008253BD" w:rsidRDefault="00065D27" w:rsidP="007B0BAD">
            <w:pPr>
              <w:pStyle w:val="prlmtabel"/>
              <w:rPr>
                <w:b/>
              </w:rPr>
            </w:pPr>
          </w:p>
        </w:tc>
        <w:tc>
          <w:tcPr>
            <w:tcW w:w="6520" w:type="dxa"/>
            <w:gridSpan w:val="2"/>
          </w:tcPr>
          <w:p w:rsidR="00065D27" w:rsidRPr="008253BD" w:rsidRDefault="00065D27" w:rsidP="007B0BAD">
            <w:pPr>
              <w:pStyle w:val="prlmtabel"/>
              <w:rPr>
                <w:b/>
              </w:rPr>
            </w:pPr>
            <w:r w:rsidRPr="008253BD">
              <w:rPr>
                <w:b/>
              </w:rPr>
              <w:t xml:space="preserve">Binnen </w:t>
            </w:r>
            <w:r>
              <w:rPr>
                <w:b/>
              </w:rPr>
              <w:t>6</w:t>
            </w:r>
            <w:r w:rsidRPr="008253BD">
              <w:rPr>
                <w:b/>
              </w:rPr>
              <w:t xml:space="preserve"> weken na opname, of zoveel eerder als nodig is</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De tandarts inventariseert de mondgezondheid en stelt een mondzorgplan op. Belangrijke aspecten bij de opstelling van het mondzorgplan zijn: de wensen van de cliënt, de prognose van zijn aandoeningen, de relatie tussen de mondgezondheid en de aandoeningen waarvoor de verpleeghuisarts de medische zorg levert</w:t>
            </w:r>
          </w:p>
        </w:tc>
      </w:tr>
      <w:tr w:rsidR="00065D27" w:rsidRPr="008253BD" w:rsidTr="007B0BAD">
        <w:tc>
          <w:tcPr>
            <w:tcW w:w="2660" w:type="dxa"/>
            <w:vMerge w:val="restart"/>
          </w:tcPr>
          <w:p w:rsidR="00065D27" w:rsidRPr="008253BD" w:rsidRDefault="00065D27" w:rsidP="007B0BAD">
            <w:pPr>
              <w:pStyle w:val="prlmtabel"/>
              <w:rPr>
                <w:b/>
              </w:rPr>
            </w:pPr>
            <w:r w:rsidRPr="008253BD">
              <w:rPr>
                <w:b/>
              </w:rPr>
              <w:t>Scholing van zorgverleners</w:t>
            </w:r>
          </w:p>
        </w:tc>
        <w:tc>
          <w:tcPr>
            <w:tcW w:w="6520" w:type="dxa"/>
            <w:gridSpan w:val="2"/>
          </w:tcPr>
          <w:p w:rsidR="00065D27" w:rsidRPr="008253BD" w:rsidRDefault="00065D27" w:rsidP="007B0BAD">
            <w:pPr>
              <w:pStyle w:val="prlmtabel"/>
            </w:pPr>
            <w:r w:rsidRPr="008253BD">
              <w:t>School verzorgenden en verpleegkundigen in een zorginstelling regelmatig in mondverzorging. Bij voorkeur eenmaal per jaar, maar ten minste eenmaal per anderhalf jaar. De organisatie en coördinatie van de scholing wordt toebedeeld aan een professionele mondzorgverlener, werkzaam in de instelling</w:t>
            </w:r>
          </w:p>
        </w:tc>
      </w:tr>
      <w:tr w:rsidR="00065D27" w:rsidRPr="008253BD" w:rsidTr="007B0BAD">
        <w:tc>
          <w:tcPr>
            <w:tcW w:w="2660" w:type="dxa"/>
            <w:vMerge/>
          </w:tcPr>
          <w:p w:rsidR="00065D27" w:rsidRPr="008253BD" w:rsidRDefault="00065D27" w:rsidP="007B0BAD">
            <w:pPr>
              <w:pStyle w:val="prlmtabel"/>
            </w:pPr>
          </w:p>
        </w:tc>
        <w:tc>
          <w:tcPr>
            <w:tcW w:w="6520" w:type="dxa"/>
            <w:gridSpan w:val="2"/>
          </w:tcPr>
          <w:p w:rsidR="00065D27" w:rsidRPr="008253BD" w:rsidRDefault="00065D27" w:rsidP="007B0BAD">
            <w:pPr>
              <w:pStyle w:val="prlmtabel"/>
            </w:pPr>
            <w:r w:rsidRPr="008253BD">
              <w:t>Zorg ten behoeve van goede mondverzorging voor deskundig personeel. De zorgaanbieder ziet erop toe dat de werkzame zorgverleners over de vereiste kennis, vaardigheden en attitude beschikken</w:t>
            </w:r>
          </w:p>
        </w:tc>
      </w:tr>
    </w:tbl>
    <w:p w:rsidR="00065D27" w:rsidRDefault="00065D27" w:rsidP="00065D27">
      <w:pPr>
        <w:pStyle w:val="prlmkaderkop1"/>
      </w:pPr>
    </w:p>
    <w:p w:rsidR="00065D27" w:rsidRDefault="00065D27" w:rsidP="0071795C">
      <w:pPr>
        <w:pStyle w:val="prlmkader"/>
        <w:rPr>
          <w:b/>
        </w:rPr>
      </w:pPr>
      <w:r>
        <w:br w:type="page"/>
      </w:r>
      <w:bookmarkStart w:id="0" w:name="_GoBack"/>
      <w:bookmarkEnd w:id="0"/>
    </w:p>
    <w:sectPr w:rsidR="00065D27" w:rsidSect="008253BD">
      <w:pgSz w:w="11906" w:h="16838"/>
      <w:pgMar w:top="709" w:right="567" w:bottom="709" w:left="851"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27" w:rsidRDefault="00065D27">
      <w:r>
        <w:separator/>
      </w:r>
    </w:p>
  </w:endnote>
  <w:endnote w:type="continuationSeparator" w:id="0">
    <w:p w:rsidR="00065D27" w:rsidRDefault="0006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Black">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Times New Roman Italic">
    <w:altName w:val="Courier New"/>
    <w:charset w:val="00"/>
    <w:family w:val="auto"/>
    <w:pitch w:val="variable"/>
    <w:sig w:usb0="00000000" w:usb1="00000000" w:usb2="00000000" w:usb3="00000000" w:csb0="00000001" w:csb1="00000000"/>
  </w:font>
  <w:font w:name="MinionPro-It">
    <w:altName w:val="Minion Pro It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27" w:rsidRDefault="00065D27">
      <w:r>
        <w:separator/>
      </w:r>
    </w:p>
  </w:footnote>
  <w:footnote w:type="continuationSeparator" w:id="0">
    <w:p w:rsidR="00065D27" w:rsidRDefault="00065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F36"/>
    <w:multiLevelType w:val="hybridMultilevel"/>
    <w:tmpl w:val="2B886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1277FA"/>
    <w:multiLevelType w:val="hybridMultilevel"/>
    <w:tmpl w:val="01B8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F1C5E4A"/>
    <w:multiLevelType w:val="hybridMultilevel"/>
    <w:tmpl w:val="7C2C3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8E70129"/>
    <w:multiLevelType w:val="hybridMultilevel"/>
    <w:tmpl w:val="49B2C432"/>
    <w:lvl w:ilvl="0" w:tplc="99184E98">
      <w:start w:val="1"/>
      <w:numFmt w:val="bullet"/>
      <w:pStyle w:val="prlmleerdoel"/>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nsid w:val="50022FED"/>
    <w:multiLevelType w:val="hybridMultilevel"/>
    <w:tmpl w:val="C3448C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90436B2"/>
    <w:multiLevelType w:val="hybridMultilevel"/>
    <w:tmpl w:val="1E5289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7217079"/>
    <w:multiLevelType w:val="hybridMultilevel"/>
    <w:tmpl w:val="1E9A8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F2D2F45"/>
    <w:multiLevelType w:val="hybridMultilevel"/>
    <w:tmpl w:val="2FC89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7"/>
  </w:num>
  <w:num w:numId="6">
    <w:abstractNumId w:val="2"/>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27"/>
    <w:rsid w:val="000020F8"/>
    <w:rsid w:val="00007152"/>
    <w:rsid w:val="000107DE"/>
    <w:rsid w:val="00036D61"/>
    <w:rsid w:val="000409EC"/>
    <w:rsid w:val="0004386E"/>
    <w:rsid w:val="00047716"/>
    <w:rsid w:val="00052EF0"/>
    <w:rsid w:val="00055C68"/>
    <w:rsid w:val="00060DD8"/>
    <w:rsid w:val="00063670"/>
    <w:rsid w:val="000642F0"/>
    <w:rsid w:val="00065D27"/>
    <w:rsid w:val="00067C44"/>
    <w:rsid w:val="000760EE"/>
    <w:rsid w:val="0008198E"/>
    <w:rsid w:val="00091766"/>
    <w:rsid w:val="00094E9B"/>
    <w:rsid w:val="00097616"/>
    <w:rsid w:val="00097A72"/>
    <w:rsid w:val="000A62CB"/>
    <w:rsid w:val="000A6405"/>
    <w:rsid w:val="000B3BD3"/>
    <w:rsid w:val="000B3EC4"/>
    <w:rsid w:val="000C3066"/>
    <w:rsid w:val="000C4747"/>
    <w:rsid w:val="000D047B"/>
    <w:rsid w:val="000D670C"/>
    <w:rsid w:val="000E1C52"/>
    <w:rsid w:val="000E209B"/>
    <w:rsid w:val="000E77A0"/>
    <w:rsid w:val="000E7C40"/>
    <w:rsid w:val="000F309A"/>
    <w:rsid w:val="001004CF"/>
    <w:rsid w:val="00130218"/>
    <w:rsid w:val="00130614"/>
    <w:rsid w:val="00143069"/>
    <w:rsid w:val="0014649C"/>
    <w:rsid w:val="001468FA"/>
    <w:rsid w:val="00157B1E"/>
    <w:rsid w:val="00164C09"/>
    <w:rsid w:val="00171842"/>
    <w:rsid w:val="00172CB6"/>
    <w:rsid w:val="00176894"/>
    <w:rsid w:val="001A78A9"/>
    <w:rsid w:val="001B1DA9"/>
    <w:rsid w:val="001C2EBE"/>
    <w:rsid w:val="001D084D"/>
    <w:rsid w:val="001E0E5F"/>
    <w:rsid w:val="001E4730"/>
    <w:rsid w:val="001F4988"/>
    <w:rsid w:val="001F6330"/>
    <w:rsid w:val="00206195"/>
    <w:rsid w:val="0020652C"/>
    <w:rsid w:val="00206900"/>
    <w:rsid w:val="0021622D"/>
    <w:rsid w:val="00230560"/>
    <w:rsid w:val="002313B7"/>
    <w:rsid w:val="00240605"/>
    <w:rsid w:val="00242C47"/>
    <w:rsid w:val="00247EC8"/>
    <w:rsid w:val="002728B8"/>
    <w:rsid w:val="00282880"/>
    <w:rsid w:val="00284576"/>
    <w:rsid w:val="0028798F"/>
    <w:rsid w:val="0029443D"/>
    <w:rsid w:val="002A60D4"/>
    <w:rsid w:val="002B08DD"/>
    <w:rsid w:val="002B1904"/>
    <w:rsid w:val="002B59D8"/>
    <w:rsid w:val="002B5B5C"/>
    <w:rsid w:val="002C1283"/>
    <w:rsid w:val="002D0A1E"/>
    <w:rsid w:val="002D279C"/>
    <w:rsid w:val="002E079A"/>
    <w:rsid w:val="002E72D9"/>
    <w:rsid w:val="002F4394"/>
    <w:rsid w:val="00300793"/>
    <w:rsid w:val="0030151A"/>
    <w:rsid w:val="00301D80"/>
    <w:rsid w:val="00303077"/>
    <w:rsid w:val="003075E3"/>
    <w:rsid w:val="003223B2"/>
    <w:rsid w:val="00322DC5"/>
    <w:rsid w:val="0033640F"/>
    <w:rsid w:val="00361F7F"/>
    <w:rsid w:val="00363B2E"/>
    <w:rsid w:val="00372A5C"/>
    <w:rsid w:val="00376043"/>
    <w:rsid w:val="00382E3F"/>
    <w:rsid w:val="00396419"/>
    <w:rsid w:val="003971E1"/>
    <w:rsid w:val="003C71C8"/>
    <w:rsid w:val="003D29C2"/>
    <w:rsid w:val="003D6B2E"/>
    <w:rsid w:val="003E1452"/>
    <w:rsid w:val="003F45E2"/>
    <w:rsid w:val="003F4839"/>
    <w:rsid w:val="00401EA5"/>
    <w:rsid w:val="0041138C"/>
    <w:rsid w:val="00413188"/>
    <w:rsid w:val="00415513"/>
    <w:rsid w:val="00416A7C"/>
    <w:rsid w:val="00420A94"/>
    <w:rsid w:val="004311FE"/>
    <w:rsid w:val="00443808"/>
    <w:rsid w:val="00446375"/>
    <w:rsid w:val="00450B5A"/>
    <w:rsid w:val="004567B8"/>
    <w:rsid w:val="00473D21"/>
    <w:rsid w:val="00475418"/>
    <w:rsid w:val="004779A8"/>
    <w:rsid w:val="0048116A"/>
    <w:rsid w:val="00491279"/>
    <w:rsid w:val="00491874"/>
    <w:rsid w:val="004B20E3"/>
    <w:rsid w:val="004B3109"/>
    <w:rsid w:val="004B3B55"/>
    <w:rsid w:val="004E4628"/>
    <w:rsid w:val="004E5298"/>
    <w:rsid w:val="004E64CC"/>
    <w:rsid w:val="005077F1"/>
    <w:rsid w:val="005178FB"/>
    <w:rsid w:val="005203F9"/>
    <w:rsid w:val="005306A3"/>
    <w:rsid w:val="00531748"/>
    <w:rsid w:val="00533893"/>
    <w:rsid w:val="0053404D"/>
    <w:rsid w:val="005531DE"/>
    <w:rsid w:val="00562794"/>
    <w:rsid w:val="00582C96"/>
    <w:rsid w:val="0058370F"/>
    <w:rsid w:val="00585170"/>
    <w:rsid w:val="005954CC"/>
    <w:rsid w:val="00595DB3"/>
    <w:rsid w:val="005B2C68"/>
    <w:rsid w:val="005B55DC"/>
    <w:rsid w:val="005C2D53"/>
    <w:rsid w:val="005D57CA"/>
    <w:rsid w:val="005D6DEA"/>
    <w:rsid w:val="005E22EB"/>
    <w:rsid w:val="005E5F01"/>
    <w:rsid w:val="005F0AC4"/>
    <w:rsid w:val="005F1424"/>
    <w:rsid w:val="00605A3D"/>
    <w:rsid w:val="00614600"/>
    <w:rsid w:val="0061582C"/>
    <w:rsid w:val="00624769"/>
    <w:rsid w:val="00630797"/>
    <w:rsid w:val="0063262E"/>
    <w:rsid w:val="006423F6"/>
    <w:rsid w:val="006425DF"/>
    <w:rsid w:val="00644169"/>
    <w:rsid w:val="00645650"/>
    <w:rsid w:val="0066134F"/>
    <w:rsid w:val="006631F5"/>
    <w:rsid w:val="00664A73"/>
    <w:rsid w:val="00665E0D"/>
    <w:rsid w:val="00682209"/>
    <w:rsid w:val="006879A5"/>
    <w:rsid w:val="0069001B"/>
    <w:rsid w:val="00697F62"/>
    <w:rsid w:val="006A1B49"/>
    <w:rsid w:val="006A489D"/>
    <w:rsid w:val="006A78DD"/>
    <w:rsid w:val="006B0CCF"/>
    <w:rsid w:val="006B7D87"/>
    <w:rsid w:val="006C5435"/>
    <w:rsid w:val="006C6006"/>
    <w:rsid w:val="006C61AA"/>
    <w:rsid w:val="006D13D4"/>
    <w:rsid w:val="006E5A10"/>
    <w:rsid w:val="006F0AED"/>
    <w:rsid w:val="0071795C"/>
    <w:rsid w:val="00723BCA"/>
    <w:rsid w:val="00734816"/>
    <w:rsid w:val="00747D6B"/>
    <w:rsid w:val="00751BA9"/>
    <w:rsid w:val="00764308"/>
    <w:rsid w:val="00772AE1"/>
    <w:rsid w:val="0077340B"/>
    <w:rsid w:val="00774C75"/>
    <w:rsid w:val="00777DC6"/>
    <w:rsid w:val="00797F75"/>
    <w:rsid w:val="007A575B"/>
    <w:rsid w:val="007B452A"/>
    <w:rsid w:val="007B5378"/>
    <w:rsid w:val="007C0B98"/>
    <w:rsid w:val="007C7C58"/>
    <w:rsid w:val="007E6360"/>
    <w:rsid w:val="007F1305"/>
    <w:rsid w:val="007F1F07"/>
    <w:rsid w:val="007F442D"/>
    <w:rsid w:val="007F5D92"/>
    <w:rsid w:val="00800400"/>
    <w:rsid w:val="00800CDE"/>
    <w:rsid w:val="00802871"/>
    <w:rsid w:val="00807DF8"/>
    <w:rsid w:val="008165FB"/>
    <w:rsid w:val="008206BC"/>
    <w:rsid w:val="008361A6"/>
    <w:rsid w:val="00837721"/>
    <w:rsid w:val="00847D7A"/>
    <w:rsid w:val="00875A60"/>
    <w:rsid w:val="008819D0"/>
    <w:rsid w:val="00887CB8"/>
    <w:rsid w:val="008965E0"/>
    <w:rsid w:val="008A65E2"/>
    <w:rsid w:val="008B264B"/>
    <w:rsid w:val="008B5442"/>
    <w:rsid w:val="008C3BFA"/>
    <w:rsid w:val="008C5AED"/>
    <w:rsid w:val="008D0602"/>
    <w:rsid w:val="008D45A6"/>
    <w:rsid w:val="008D503D"/>
    <w:rsid w:val="008D6FBA"/>
    <w:rsid w:val="008E4121"/>
    <w:rsid w:val="008F3C7F"/>
    <w:rsid w:val="008F4E1F"/>
    <w:rsid w:val="00906D39"/>
    <w:rsid w:val="009115BD"/>
    <w:rsid w:val="00914BFB"/>
    <w:rsid w:val="009175B7"/>
    <w:rsid w:val="00926519"/>
    <w:rsid w:val="00935653"/>
    <w:rsid w:val="00945D29"/>
    <w:rsid w:val="00945E0E"/>
    <w:rsid w:val="009473F2"/>
    <w:rsid w:val="00951064"/>
    <w:rsid w:val="00956C58"/>
    <w:rsid w:val="00961FE0"/>
    <w:rsid w:val="00971A78"/>
    <w:rsid w:val="009A1BB3"/>
    <w:rsid w:val="009B2EB5"/>
    <w:rsid w:val="009C1873"/>
    <w:rsid w:val="009D2377"/>
    <w:rsid w:val="009D66CA"/>
    <w:rsid w:val="009D7DFF"/>
    <w:rsid w:val="00A05F68"/>
    <w:rsid w:val="00A20DDB"/>
    <w:rsid w:val="00A22872"/>
    <w:rsid w:val="00A27A80"/>
    <w:rsid w:val="00A30051"/>
    <w:rsid w:val="00A32638"/>
    <w:rsid w:val="00A44628"/>
    <w:rsid w:val="00A50DE1"/>
    <w:rsid w:val="00A522AA"/>
    <w:rsid w:val="00A85495"/>
    <w:rsid w:val="00A95DF3"/>
    <w:rsid w:val="00A9626D"/>
    <w:rsid w:val="00AA3666"/>
    <w:rsid w:val="00AA5564"/>
    <w:rsid w:val="00AB2536"/>
    <w:rsid w:val="00AD28CE"/>
    <w:rsid w:val="00AE6857"/>
    <w:rsid w:val="00AE6C76"/>
    <w:rsid w:val="00AE70AA"/>
    <w:rsid w:val="00AF5FE4"/>
    <w:rsid w:val="00AF72D8"/>
    <w:rsid w:val="00AF7698"/>
    <w:rsid w:val="00B01E56"/>
    <w:rsid w:val="00B1654A"/>
    <w:rsid w:val="00B23801"/>
    <w:rsid w:val="00B24304"/>
    <w:rsid w:val="00B26239"/>
    <w:rsid w:val="00B30406"/>
    <w:rsid w:val="00B34FD5"/>
    <w:rsid w:val="00B43831"/>
    <w:rsid w:val="00B61719"/>
    <w:rsid w:val="00B71DBA"/>
    <w:rsid w:val="00B85C58"/>
    <w:rsid w:val="00B91508"/>
    <w:rsid w:val="00B95920"/>
    <w:rsid w:val="00BA0A85"/>
    <w:rsid w:val="00BA7EC4"/>
    <w:rsid w:val="00BB5066"/>
    <w:rsid w:val="00BB57B1"/>
    <w:rsid w:val="00BC260B"/>
    <w:rsid w:val="00BD2E32"/>
    <w:rsid w:val="00BD3B3A"/>
    <w:rsid w:val="00BE2091"/>
    <w:rsid w:val="00BF7499"/>
    <w:rsid w:val="00BF7E54"/>
    <w:rsid w:val="00C14BDE"/>
    <w:rsid w:val="00C33085"/>
    <w:rsid w:val="00C34F4C"/>
    <w:rsid w:val="00C37817"/>
    <w:rsid w:val="00C44258"/>
    <w:rsid w:val="00C6349E"/>
    <w:rsid w:val="00C63E56"/>
    <w:rsid w:val="00C66A86"/>
    <w:rsid w:val="00C77AFD"/>
    <w:rsid w:val="00C832C2"/>
    <w:rsid w:val="00C91C45"/>
    <w:rsid w:val="00C943C3"/>
    <w:rsid w:val="00C956AD"/>
    <w:rsid w:val="00CA5CDE"/>
    <w:rsid w:val="00CD525E"/>
    <w:rsid w:val="00CE1054"/>
    <w:rsid w:val="00CE340A"/>
    <w:rsid w:val="00CF3DC5"/>
    <w:rsid w:val="00CF5B19"/>
    <w:rsid w:val="00D01D23"/>
    <w:rsid w:val="00D12280"/>
    <w:rsid w:val="00D21B08"/>
    <w:rsid w:val="00D223CD"/>
    <w:rsid w:val="00D2479A"/>
    <w:rsid w:val="00D34DD5"/>
    <w:rsid w:val="00D3540A"/>
    <w:rsid w:val="00D36A02"/>
    <w:rsid w:val="00D566D0"/>
    <w:rsid w:val="00D64EC5"/>
    <w:rsid w:val="00D7459D"/>
    <w:rsid w:val="00D950B1"/>
    <w:rsid w:val="00DA2D12"/>
    <w:rsid w:val="00DA3B4D"/>
    <w:rsid w:val="00DB78B7"/>
    <w:rsid w:val="00DD4C38"/>
    <w:rsid w:val="00DE2372"/>
    <w:rsid w:val="00DE44A7"/>
    <w:rsid w:val="00DE5B5F"/>
    <w:rsid w:val="00DF7F3C"/>
    <w:rsid w:val="00E05908"/>
    <w:rsid w:val="00E07B6B"/>
    <w:rsid w:val="00E25764"/>
    <w:rsid w:val="00E25BEB"/>
    <w:rsid w:val="00E33FB8"/>
    <w:rsid w:val="00E43AFE"/>
    <w:rsid w:val="00E43CCA"/>
    <w:rsid w:val="00E50989"/>
    <w:rsid w:val="00E567B0"/>
    <w:rsid w:val="00E749F2"/>
    <w:rsid w:val="00E86511"/>
    <w:rsid w:val="00EA1A17"/>
    <w:rsid w:val="00EB088A"/>
    <w:rsid w:val="00EB1677"/>
    <w:rsid w:val="00EB498A"/>
    <w:rsid w:val="00EE45CB"/>
    <w:rsid w:val="00EE77CA"/>
    <w:rsid w:val="00EE7CC2"/>
    <w:rsid w:val="00EE7DFC"/>
    <w:rsid w:val="00EF3B4E"/>
    <w:rsid w:val="00EF61E1"/>
    <w:rsid w:val="00F03148"/>
    <w:rsid w:val="00F113A1"/>
    <w:rsid w:val="00F124D5"/>
    <w:rsid w:val="00F245E9"/>
    <w:rsid w:val="00F24BB1"/>
    <w:rsid w:val="00F3200B"/>
    <w:rsid w:val="00F36D16"/>
    <w:rsid w:val="00F61285"/>
    <w:rsid w:val="00F70941"/>
    <w:rsid w:val="00F90848"/>
    <w:rsid w:val="00F92049"/>
    <w:rsid w:val="00F943A3"/>
    <w:rsid w:val="00F95E8E"/>
    <w:rsid w:val="00FA1795"/>
    <w:rsid w:val="00FA6334"/>
    <w:rsid w:val="00FB5FAE"/>
    <w:rsid w:val="00FC3219"/>
    <w:rsid w:val="00FC7851"/>
    <w:rsid w:val="00FD053E"/>
    <w:rsid w:val="00FD0A97"/>
    <w:rsid w:val="00FD4A0E"/>
    <w:rsid w:val="00FD4F0A"/>
    <w:rsid w:val="00FD70CB"/>
    <w:rsid w:val="00FF7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65D27"/>
    <w:rPr>
      <w:sz w:val="24"/>
      <w:szCs w:val="24"/>
      <w:lang w:eastAsia="en-US"/>
    </w:rPr>
  </w:style>
  <w:style w:type="paragraph" w:styleId="Kop1">
    <w:name w:val="heading 1"/>
    <w:basedOn w:val="Standaard"/>
    <w:next w:val="Standaard"/>
    <w:rsid w:val="00D455C4"/>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lmnormaal">
    <w:name w:val="prlm_normaal"/>
    <w:qFormat/>
    <w:rsid w:val="00E176BC"/>
    <w:rPr>
      <w:color w:val="000000"/>
      <w:sz w:val="22"/>
    </w:rPr>
  </w:style>
  <w:style w:type="paragraph" w:customStyle="1" w:styleId="prlmstart">
    <w:name w:val="prlm_start"/>
    <w:next w:val="prlmnormaal"/>
    <w:qFormat/>
    <w:rsid w:val="00D43989"/>
    <w:pPr>
      <w:shd w:val="clear" w:color="auto" w:fill="E5DFEC"/>
      <w:ind w:left="720"/>
    </w:pPr>
    <w:rPr>
      <w:bCs/>
      <w:color w:val="008080"/>
    </w:rPr>
  </w:style>
  <w:style w:type="paragraph" w:customStyle="1" w:styleId="prlmhoofdkop">
    <w:name w:val="prlm_hoofdkop"/>
    <w:basedOn w:val="prlmnormaal"/>
    <w:next w:val="prlmnormaal"/>
    <w:qFormat/>
    <w:rsid w:val="00E176BC"/>
    <w:pPr>
      <w:spacing w:before="120" w:after="120"/>
    </w:pPr>
    <w:rPr>
      <w:b/>
      <w:color w:val="E36C0A"/>
      <w:sz w:val="36"/>
    </w:rPr>
  </w:style>
  <w:style w:type="paragraph" w:customStyle="1" w:styleId="prlmkop1">
    <w:name w:val="prlm_kop1"/>
    <w:basedOn w:val="Standaard"/>
    <w:next w:val="prlmnormaal"/>
    <w:qFormat/>
    <w:rsid w:val="00E176BC"/>
    <w:pPr>
      <w:spacing w:before="360" w:after="240"/>
    </w:pPr>
    <w:rPr>
      <w:b/>
      <w:color w:val="31849B"/>
      <w:sz w:val="28"/>
      <w:szCs w:val="20"/>
      <w:lang w:eastAsia="nl-NL"/>
    </w:rPr>
  </w:style>
  <w:style w:type="paragraph" w:customStyle="1" w:styleId="prlmsamenvatting">
    <w:name w:val="prlm_samenvatting"/>
    <w:basedOn w:val="prlmnormaal"/>
    <w:rsid w:val="00E176BC"/>
    <w:pPr>
      <w:spacing w:line="360" w:lineRule="auto"/>
    </w:pPr>
    <w:rPr>
      <w:color w:val="auto"/>
    </w:rPr>
  </w:style>
  <w:style w:type="paragraph" w:customStyle="1" w:styleId="prlmsamenvattingkop">
    <w:name w:val="prlm_samenvatting_kop"/>
    <w:basedOn w:val="prlmsamenvatting"/>
    <w:rsid w:val="00E176BC"/>
    <w:pPr>
      <w:spacing w:before="320"/>
    </w:pPr>
    <w:rPr>
      <w:b/>
      <w:sz w:val="24"/>
    </w:rPr>
  </w:style>
  <w:style w:type="paragraph" w:customStyle="1" w:styleId="prlmkop2">
    <w:name w:val="prlm_kop2"/>
    <w:basedOn w:val="prlmkop1"/>
    <w:next w:val="prlmnormaal"/>
    <w:rsid w:val="00D43989"/>
    <w:pPr>
      <w:spacing w:before="240" w:after="0"/>
    </w:pPr>
    <w:rPr>
      <w:sz w:val="24"/>
    </w:rPr>
  </w:style>
  <w:style w:type="paragraph" w:customStyle="1" w:styleId="prlmkop3">
    <w:name w:val="prlm_kop3"/>
    <w:basedOn w:val="prlmkop2"/>
    <w:rsid w:val="00D43989"/>
    <w:rPr>
      <w:rFonts w:ascii="Calibri" w:hAnsi="Calibri"/>
      <w:color w:val="auto"/>
      <w:sz w:val="22"/>
    </w:rPr>
  </w:style>
  <w:style w:type="paragraph" w:customStyle="1" w:styleId="prlmbijschrift">
    <w:name w:val="prlm_bijschrift"/>
    <w:basedOn w:val="prlmnormaal"/>
    <w:next w:val="prlmnormaal"/>
    <w:rsid w:val="00D43989"/>
    <w:pPr>
      <w:spacing w:before="120" w:after="120"/>
    </w:pPr>
    <w:rPr>
      <w:b/>
      <w:color w:val="auto"/>
      <w:sz w:val="20"/>
    </w:rPr>
  </w:style>
  <w:style w:type="paragraph" w:customStyle="1" w:styleId="prlmkaderkop1">
    <w:name w:val="prlm_kader_kop1"/>
    <w:basedOn w:val="prlmnormaal"/>
    <w:next w:val="prlmkader"/>
    <w:qFormat/>
    <w:rsid w:val="0004386E"/>
    <w:pPr>
      <w:spacing w:before="360" w:after="120"/>
    </w:pPr>
    <w:rPr>
      <w:rFonts w:ascii="Calibri" w:hAnsi="Calibri"/>
      <w:b/>
      <w:color w:val="008080"/>
      <w:sz w:val="24"/>
    </w:rPr>
  </w:style>
  <w:style w:type="paragraph" w:customStyle="1" w:styleId="prlmkader">
    <w:name w:val="prlm_kader"/>
    <w:basedOn w:val="Standaard"/>
    <w:rsid w:val="00D43989"/>
    <w:rPr>
      <w:rFonts w:ascii="Calibri" w:hAnsi="Calibri"/>
      <w:color w:val="008080"/>
      <w:sz w:val="22"/>
      <w:szCs w:val="20"/>
      <w:lang w:eastAsia="nl-NL"/>
    </w:rPr>
  </w:style>
  <w:style w:type="paragraph" w:customStyle="1" w:styleId="prlmopmerking">
    <w:name w:val="prlm_opmerking"/>
    <w:basedOn w:val="prlmnormaal"/>
    <w:next w:val="prlmnormaal"/>
    <w:qFormat/>
    <w:rsid w:val="00401EA5"/>
    <w:rPr>
      <w:rFonts w:ascii="Arial" w:hAnsi="Arial"/>
      <w:b/>
      <w:i/>
      <w:color w:val="FF0000"/>
      <w:sz w:val="18"/>
      <w:u w:val="single"/>
    </w:rPr>
  </w:style>
  <w:style w:type="paragraph" w:customStyle="1" w:styleId="prlmnormaalwitvoor">
    <w:name w:val="prlm_normaal_witvoor"/>
    <w:basedOn w:val="prlmnormaal"/>
    <w:rsid w:val="00D43989"/>
    <w:pPr>
      <w:spacing w:before="240"/>
    </w:pPr>
  </w:style>
  <w:style w:type="paragraph" w:customStyle="1" w:styleId="prlmtabelkop">
    <w:name w:val="prlm_tabel_kop"/>
    <w:basedOn w:val="prlmtabel"/>
    <w:rsid w:val="00D43989"/>
    <w:rPr>
      <w:b/>
    </w:rPr>
  </w:style>
  <w:style w:type="paragraph" w:customStyle="1" w:styleId="prlmtabel">
    <w:name w:val="prlm_tabel"/>
    <w:basedOn w:val="prlmnormaal"/>
    <w:qFormat/>
    <w:rsid w:val="00D43989"/>
    <w:rPr>
      <w:rFonts w:ascii="Calibri" w:hAnsi="Calibri"/>
      <w:sz w:val="18"/>
    </w:rPr>
  </w:style>
  <w:style w:type="paragraph" w:customStyle="1" w:styleId="prlmliteratuurkop">
    <w:name w:val="prlm_literatuur_kop"/>
    <w:basedOn w:val="prlmkop1"/>
    <w:next w:val="Standaard"/>
    <w:rsid w:val="00D43989"/>
    <w:pPr>
      <w:keepNext/>
      <w:widowControl w:val="0"/>
      <w:tabs>
        <w:tab w:val="left" w:pos="227"/>
      </w:tabs>
      <w:suppressAutoHyphens/>
      <w:autoSpaceDE w:val="0"/>
      <w:autoSpaceDN w:val="0"/>
      <w:adjustRightInd w:val="0"/>
      <w:spacing w:before="170" w:after="57" w:line="260" w:lineRule="atLeast"/>
      <w:textAlignment w:val="baseline"/>
    </w:pPr>
    <w:rPr>
      <w:rFonts w:ascii="MyriadPro-Black" w:hAnsi="MyriadPro-Black" w:cs="MyriadPro-Black"/>
      <w:b w:val="0"/>
      <w:color w:val="000000"/>
      <w:sz w:val="22"/>
      <w:szCs w:val="22"/>
      <w:lang w:eastAsia="en-US" w:bidi="en-US"/>
    </w:rPr>
  </w:style>
  <w:style w:type="paragraph" w:customStyle="1" w:styleId="prlmliteratuur">
    <w:name w:val="prlm_literatuur"/>
    <w:basedOn w:val="prlmnormaal"/>
    <w:rsid w:val="00D43989"/>
    <w:pPr>
      <w:ind w:left="284" w:hanging="284"/>
    </w:pPr>
    <w:rPr>
      <w:rFonts w:ascii="Calibri" w:hAnsi="Calibri"/>
      <w:sz w:val="20"/>
    </w:rPr>
  </w:style>
  <w:style w:type="paragraph" w:customStyle="1" w:styleId="prlmleerdoel">
    <w:name w:val="prlm_leerdoel"/>
    <w:basedOn w:val="prlmstart"/>
    <w:rsid w:val="00D43989"/>
    <w:pPr>
      <w:numPr>
        <w:numId w:val="1"/>
      </w:numPr>
    </w:pPr>
  </w:style>
  <w:style w:type="paragraph" w:customStyle="1" w:styleId="prlmauteur">
    <w:name w:val="prlm_auteur"/>
    <w:basedOn w:val="Standaard"/>
    <w:rsid w:val="00475321"/>
    <w:pPr>
      <w:widowControl w:val="0"/>
      <w:tabs>
        <w:tab w:val="left" w:pos="227"/>
        <w:tab w:val="left" w:pos="2808"/>
      </w:tabs>
      <w:suppressAutoHyphens/>
      <w:autoSpaceDE w:val="0"/>
      <w:autoSpaceDN w:val="0"/>
      <w:adjustRightInd w:val="0"/>
      <w:spacing w:line="220" w:lineRule="atLeast"/>
      <w:textAlignment w:val="baseline"/>
    </w:pPr>
    <w:rPr>
      <w:rFonts w:ascii="MyriadPro-Regular" w:hAnsi="MyriadPro-Regular" w:cs="MyriadPro-Regular"/>
      <w:color w:val="000000"/>
      <w:sz w:val="16"/>
      <w:szCs w:val="16"/>
      <w:lang w:bidi="en-US"/>
    </w:rPr>
  </w:style>
  <w:style w:type="paragraph" w:customStyle="1" w:styleId="prlmleerdoelenkop">
    <w:name w:val="prlm_leerdoelen_kop"/>
    <w:basedOn w:val="Standaard"/>
    <w:rsid w:val="00475321"/>
    <w:pPr>
      <w:keepNext/>
      <w:widowControl w:val="0"/>
      <w:tabs>
        <w:tab w:val="left" w:pos="227"/>
      </w:tabs>
      <w:suppressAutoHyphens/>
      <w:autoSpaceDE w:val="0"/>
      <w:autoSpaceDN w:val="0"/>
      <w:adjustRightInd w:val="0"/>
      <w:spacing w:before="220" w:line="220" w:lineRule="atLeast"/>
      <w:textAlignment w:val="baseline"/>
    </w:pPr>
    <w:rPr>
      <w:rFonts w:ascii="MyriadPro-Black" w:hAnsi="MyriadPro-Black" w:cs="MyriadPro-Black"/>
      <w:color w:val="000000"/>
      <w:sz w:val="16"/>
      <w:szCs w:val="16"/>
      <w:lang w:bidi="en-US"/>
    </w:rPr>
  </w:style>
  <w:style w:type="paragraph" w:customStyle="1" w:styleId="prlmkop4">
    <w:name w:val="prlm_kop4"/>
    <w:basedOn w:val="prlmnormaalwitvoor"/>
    <w:rsid w:val="008B7467"/>
    <w:pPr>
      <w:widowControl w:val="0"/>
      <w:suppressAutoHyphens/>
      <w:autoSpaceDE w:val="0"/>
      <w:autoSpaceDN w:val="0"/>
      <w:adjustRightInd w:val="0"/>
      <w:spacing w:before="170" w:line="260" w:lineRule="atLeast"/>
      <w:textAlignment w:val="baseline"/>
    </w:pPr>
    <w:rPr>
      <w:rFonts w:ascii="Times New Roman Italic" w:hAnsi="Times New Roman Italic" w:cs="MinionPro-It"/>
      <w:iCs/>
      <w:sz w:val="21"/>
      <w:szCs w:val="21"/>
      <w:lang w:eastAsia="en-US" w:bidi="en-US"/>
    </w:rPr>
  </w:style>
  <w:style w:type="paragraph" w:customStyle="1" w:styleId="prlmtrefwoordenkop">
    <w:name w:val="prlm_trefwoorden_kop"/>
    <w:basedOn w:val="prlmleerdoelenkop"/>
    <w:rsid w:val="00A00A97"/>
  </w:style>
  <w:style w:type="paragraph" w:customStyle="1" w:styleId="prlmtrefwoorden">
    <w:name w:val="prlm_trefwoorden"/>
    <w:basedOn w:val="prlmstart"/>
    <w:rsid w:val="00A00A97"/>
  </w:style>
  <w:style w:type="paragraph" w:customStyle="1" w:styleId="prlmkaderkop2">
    <w:name w:val="prlm_kader_kop2"/>
    <w:basedOn w:val="prlmkaderkop1"/>
    <w:next w:val="prlmkader"/>
    <w:autoRedefine/>
    <w:qFormat/>
    <w:rsid w:val="0004386E"/>
    <w:pPr>
      <w:spacing w:before="120"/>
    </w:pPr>
    <w:rPr>
      <w:i/>
      <w:sz w:val="22"/>
    </w:rPr>
  </w:style>
  <w:style w:type="table" w:styleId="Tabelraster">
    <w:name w:val="Table Grid"/>
    <w:basedOn w:val="Standaardtabel"/>
    <w:uiPriority w:val="59"/>
    <w:rsid w:val="00533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lmasset">
    <w:name w:val="prlm_asset"/>
    <w:basedOn w:val="prlmbijschrift"/>
    <w:next w:val="prlmbijschrift"/>
    <w:qFormat/>
    <w:rsid w:val="00945E0E"/>
    <w:rPr>
      <w:color w:val="FF0000"/>
    </w:rPr>
  </w:style>
  <w:style w:type="paragraph" w:customStyle="1" w:styleId="prlmdruk">
    <w:name w:val="prlm_druk"/>
    <w:basedOn w:val="prlmnormaal"/>
    <w:autoRedefine/>
    <w:qFormat/>
    <w:rsid w:val="00734816"/>
    <w:rPr>
      <w:rFonts w:ascii="Arial" w:hAnsi="Arial"/>
      <w:sz w:val="18"/>
    </w:rPr>
  </w:style>
  <w:style w:type="paragraph" w:customStyle="1" w:styleId="prlminleiding">
    <w:name w:val="prlm_inleiding"/>
    <w:basedOn w:val="prlmsamenvatting"/>
    <w:next w:val="prlmkop1"/>
    <w:autoRedefine/>
    <w:qFormat/>
    <w:rsid w:val="005178FB"/>
    <w:rPr>
      <w:rFonts w:ascii="Verdana" w:hAnsi="Verdana"/>
      <w:color w:val="4A442A"/>
      <w:sz w:val="20"/>
    </w:rPr>
  </w:style>
  <w:style w:type="paragraph" w:customStyle="1" w:styleId="prlminleidingkop">
    <w:name w:val="prlm_inleiding_kop"/>
    <w:basedOn w:val="prlminleiding"/>
    <w:next w:val="prlminleiding"/>
    <w:autoRedefine/>
    <w:qFormat/>
    <w:rsid w:val="00BD3B3A"/>
    <w:pPr>
      <w:spacing w:before="220" w:line="240" w:lineRule="auto"/>
    </w:pPr>
    <w:rPr>
      <w:b/>
      <w:sz w:val="22"/>
    </w:rPr>
  </w:style>
  <w:style w:type="paragraph" w:customStyle="1" w:styleId="prlmhoofdkopsub">
    <w:name w:val="prlm_hoofdkop_sub"/>
    <w:basedOn w:val="prlmhoofdkop"/>
    <w:next w:val="prlmkop1"/>
    <w:autoRedefine/>
    <w:qFormat/>
    <w:rsid w:val="00450B5A"/>
    <w:rPr>
      <w:b w:val="0"/>
      <w:i/>
    </w:rPr>
  </w:style>
  <w:style w:type="paragraph" w:customStyle="1" w:styleId="prlmrubriek">
    <w:name w:val="prlm_rubriek"/>
    <w:basedOn w:val="prlmhoofdkop"/>
    <w:next w:val="prlmhoofdkop"/>
    <w:autoRedefine/>
    <w:qFormat/>
    <w:rsid w:val="00AA5564"/>
    <w:rPr>
      <w:rFonts w:ascii="Verdana" w:hAnsi="Verdana"/>
      <w:color w:val="984806"/>
    </w:rPr>
  </w:style>
  <w:style w:type="paragraph" w:customStyle="1" w:styleId="prlmcitaat">
    <w:name w:val="prlm_citaat"/>
    <w:basedOn w:val="prlmdruk"/>
    <w:next w:val="prlmnormaal"/>
    <w:autoRedefine/>
    <w:qFormat/>
    <w:rsid w:val="00531748"/>
    <w:rPr>
      <w:i/>
      <w:spacing w:val="40"/>
    </w:rPr>
  </w:style>
  <w:style w:type="table" w:customStyle="1" w:styleId="Tabelraster1">
    <w:name w:val="Tabelraster1"/>
    <w:basedOn w:val="Standaardtabel"/>
    <w:next w:val="Tabelraster"/>
    <w:uiPriority w:val="59"/>
    <w:rsid w:val="00065D27"/>
    <w:rPr>
      <w:rFonts w:eastAsia="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65D27"/>
    <w:rPr>
      <w:rFonts w:ascii="Tahoma" w:hAnsi="Tahoma" w:cs="Tahoma"/>
      <w:sz w:val="16"/>
      <w:szCs w:val="16"/>
    </w:rPr>
  </w:style>
  <w:style w:type="character" w:customStyle="1" w:styleId="BallontekstChar">
    <w:name w:val="Ballontekst Char"/>
    <w:basedOn w:val="Standaardalinea-lettertype"/>
    <w:link w:val="Ballontekst"/>
    <w:uiPriority w:val="99"/>
    <w:semiHidden/>
    <w:rsid w:val="00065D2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65D27"/>
    <w:rPr>
      <w:sz w:val="24"/>
      <w:szCs w:val="24"/>
      <w:lang w:eastAsia="en-US"/>
    </w:rPr>
  </w:style>
  <w:style w:type="paragraph" w:styleId="Kop1">
    <w:name w:val="heading 1"/>
    <w:basedOn w:val="Standaard"/>
    <w:next w:val="Standaard"/>
    <w:rsid w:val="00D455C4"/>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lmnormaal">
    <w:name w:val="prlm_normaal"/>
    <w:qFormat/>
    <w:rsid w:val="00E176BC"/>
    <w:rPr>
      <w:color w:val="000000"/>
      <w:sz w:val="22"/>
    </w:rPr>
  </w:style>
  <w:style w:type="paragraph" w:customStyle="1" w:styleId="prlmstart">
    <w:name w:val="prlm_start"/>
    <w:next w:val="prlmnormaal"/>
    <w:qFormat/>
    <w:rsid w:val="00D43989"/>
    <w:pPr>
      <w:shd w:val="clear" w:color="auto" w:fill="E5DFEC"/>
      <w:ind w:left="720"/>
    </w:pPr>
    <w:rPr>
      <w:bCs/>
      <w:color w:val="008080"/>
    </w:rPr>
  </w:style>
  <w:style w:type="paragraph" w:customStyle="1" w:styleId="prlmhoofdkop">
    <w:name w:val="prlm_hoofdkop"/>
    <w:basedOn w:val="prlmnormaal"/>
    <w:next w:val="prlmnormaal"/>
    <w:qFormat/>
    <w:rsid w:val="00E176BC"/>
    <w:pPr>
      <w:spacing w:before="120" w:after="120"/>
    </w:pPr>
    <w:rPr>
      <w:b/>
      <w:color w:val="E36C0A"/>
      <w:sz w:val="36"/>
    </w:rPr>
  </w:style>
  <w:style w:type="paragraph" w:customStyle="1" w:styleId="prlmkop1">
    <w:name w:val="prlm_kop1"/>
    <w:basedOn w:val="Standaard"/>
    <w:next w:val="prlmnormaal"/>
    <w:qFormat/>
    <w:rsid w:val="00E176BC"/>
    <w:pPr>
      <w:spacing w:before="360" w:after="240"/>
    </w:pPr>
    <w:rPr>
      <w:b/>
      <w:color w:val="31849B"/>
      <w:sz w:val="28"/>
      <w:szCs w:val="20"/>
      <w:lang w:eastAsia="nl-NL"/>
    </w:rPr>
  </w:style>
  <w:style w:type="paragraph" w:customStyle="1" w:styleId="prlmsamenvatting">
    <w:name w:val="prlm_samenvatting"/>
    <w:basedOn w:val="prlmnormaal"/>
    <w:rsid w:val="00E176BC"/>
    <w:pPr>
      <w:spacing w:line="360" w:lineRule="auto"/>
    </w:pPr>
    <w:rPr>
      <w:color w:val="auto"/>
    </w:rPr>
  </w:style>
  <w:style w:type="paragraph" w:customStyle="1" w:styleId="prlmsamenvattingkop">
    <w:name w:val="prlm_samenvatting_kop"/>
    <w:basedOn w:val="prlmsamenvatting"/>
    <w:rsid w:val="00E176BC"/>
    <w:pPr>
      <w:spacing w:before="320"/>
    </w:pPr>
    <w:rPr>
      <w:b/>
      <w:sz w:val="24"/>
    </w:rPr>
  </w:style>
  <w:style w:type="paragraph" w:customStyle="1" w:styleId="prlmkop2">
    <w:name w:val="prlm_kop2"/>
    <w:basedOn w:val="prlmkop1"/>
    <w:next w:val="prlmnormaal"/>
    <w:rsid w:val="00D43989"/>
    <w:pPr>
      <w:spacing w:before="240" w:after="0"/>
    </w:pPr>
    <w:rPr>
      <w:sz w:val="24"/>
    </w:rPr>
  </w:style>
  <w:style w:type="paragraph" w:customStyle="1" w:styleId="prlmkop3">
    <w:name w:val="prlm_kop3"/>
    <w:basedOn w:val="prlmkop2"/>
    <w:rsid w:val="00D43989"/>
    <w:rPr>
      <w:rFonts w:ascii="Calibri" w:hAnsi="Calibri"/>
      <w:color w:val="auto"/>
      <w:sz w:val="22"/>
    </w:rPr>
  </w:style>
  <w:style w:type="paragraph" w:customStyle="1" w:styleId="prlmbijschrift">
    <w:name w:val="prlm_bijschrift"/>
    <w:basedOn w:val="prlmnormaal"/>
    <w:next w:val="prlmnormaal"/>
    <w:rsid w:val="00D43989"/>
    <w:pPr>
      <w:spacing w:before="120" w:after="120"/>
    </w:pPr>
    <w:rPr>
      <w:b/>
      <w:color w:val="auto"/>
      <w:sz w:val="20"/>
    </w:rPr>
  </w:style>
  <w:style w:type="paragraph" w:customStyle="1" w:styleId="prlmkaderkop1">
    <w:name w:val="prlm_kader_kop1"/>
    <w:basedOn w:val="prlmnormaal"/>
    <w:next w:val="prlmkader"/>
    <w:qFormat/>
    <w:rsid w:val="0004386E"/>
    <w:pPr>
      <w:spacing w:before="360" w:after="120"/>
    </w:pPr>
    <w:rPr>
      <w:rFonts w:ascii="Calibri" w:hAnsi="Calibri"/>
      <w:b/>
      <w:color w:val="008080"/>
      <w:sz w:val="24"/>
    </w:rPr>
  </w:style>
  <w:style w:type="paragraph" w:customStyle="1" w:styleId="prlmkader">
    <w:name w:val="prlm_kader"/>
    <w:basedOn w:val="Standaard"/>
    <w:rsid w:val="00D43989"/>
    <w:rPr>
      <w:rFonts w:ascii="Calibri" w:hAnsi="Calibri"/>
      <w:color w:val="008080"/>
      <w:sz w:val="22"/>
      <w:szCs w:val="20"/>
      <w:lang w:eastAsia="nl-NL"/>
    </w:rPr>
  </w:style>
  <w:style w:type="paragraph" w:customStyle="1" w:styleId="prlmopmerking">
    <w:name w:val="prlm_opmerking"/>
    <w:basedOn w:val="prlmnormaal"/>
    <w:next w:val="prlmnormaal"/>
    <w:qFormat/>
    <w:rsid w:val="00401EA5"/>
    <w:rPr>
      <w:rFonts w:ascii="Arial" w:hAnsi="Arial"/>
      <w:b/>
      <w:i/>
      <w:color w:val="FF0000"/>
      <w:sz w:val="18"/>
      <w:u w:val="single"/>
    </w:rPr>
  </w:style>
  <w:style w:type="paragraph" w:customStyle="1" w:styleId="prlmnormaalwitvoor">
    <w:name w:val="prlm_normaal_witvoor"/>
    <w:basedOn w:val="prlmnormaal"/>
    <w:rsid w:val="00D43989"/>
    <w:pPr>
      <w:spacing w:before="240"/>
    </w:pPr>
  </w:style>
  <w:style w:type="paragraph" w:customStyle="1" w:styleId="prlmtabelkop">
    <w:name w:val="prlm_tabel_kop"/>
    <w:basedOn w:val="prlmtabel"/>
    <w:rsid w:val="00D43989"/>
    <w:rPr>
      <w:b/>
    </w:rPr>
  </w:style>
  <w:style w:type="paragraph" w:customStyle="1" w:styleId="prlmtabel">
    <w:name w:val="prlm_tabel"/>
    <w:basedOn w:val="prlmnormaal"/>
    <w:qFormat/>
    <w:rsid w:val="00D43989"/>
    <w:rPr>
      <w:rFonts w:ascii="Calibri" w:hAnsi="Calibri"/>
      <w:sz w:val="18"/>
    </w:rPr>
  </w:style>
  <w:style w:type="paragraph" w:customStyle="1" w:styleId="prlmliteratuurkop">
    <w:name w:val="prlm_literatuur_kop"/>
    <w:basedOn w:val="prlmkop1"/>
    <w:next w:val="Standaard"/>
    <w:rsid w:val="00D43989"/>
    <w:pPr>
      <w:keepNext/>
      <w:widowControl w:val="0"/>
      <w:tabs>
        <w:tab w:val="left" w:pos="227"/>
      </w:tabs>
      <w:suppressAutoHyphens/>
      <w:autoSpaceDE w:val="0"/>
      <w:autoSpaceDN w:val="0"/>
      <w:adjustRightInd w:val="0"/>
      <w:spacing w:before="170" w:after="57" w:line="260" w:lineRule="atLeast"/>
      <w:textAlignment w:val="baseline"/>
    </w:pPr>
    <w:rPr>
      <w:rFonts w:ascii="MyriadPro-Black" w:hAnsi="MyriadPro-Black" w:cs="MyriadPro-Black"/>
      <w:b w:val="0"/>
      <w:color w:val="000000"/>
      <w:sz w:val="22"/>
      <w:szCs w:val="22"/>
      <w:lang w:eastAsia="en-US" w:bidi="en-US"/>
    </w:rPr>
  </w:style>
  <w:style w:type="paragraph" w:customStyle="1" w:styleId="prlmliteratuur">
    <w:name w:val="prlm_literatuur"/>
    <w:basedOn w:val="prlmnormaal"/>
    <w:rsid w:val="00D43989"/>
    <w:pPr>
      <w:ind w:left="284" w:hanging="284"/>
    </w:pPr>
    <w:rPr>
      <w:rFonts w:ascii="Calibri" w:hAnsi="Calibri"/>
      <w:sz w:val="20"/>
    </w:rPr>
  </w:style>
  <w:style w:type="paragraph" w:customStyle="1" w:styleId="prlmleerdoel">
    <w:name w:val="prlm_leerdoel"/>
    <w:basedOn w:val="prlmstart"/>
    <w:rsid w:val="00D43989"/>
    <w:pPr>
      <w:numPr>
        <w:numId w:val="1"/>
      </w:numPr>
    </w:pPr>
  </w:style>
  <w:style w:type="paragraph" w:customStyle="1" w:styleId="prlmauteur">
    <w:name w:val="prlm_auteur"/>
    <w:basedOn w:val="Standaard"/>
    <w:rsid w:val="00475321"/>
    <w:pPr>
      <w:widowControl w:val="0"/>
      <w:tabs>
        <w:tab w:val="left" w:pos="227"/>
        <w:tab w:val="left" w:pos="2808"/>
      </w:tabs>
      <w:suppressAutoHyphens/>
      <w:autoSpaceDE w:val="0"/>
      <w:autoSpaceDN w:val="0"/>
      <w:adjustRightInd w:val="0"/>
      <w:spacing w:line="220" w:lineRule="atLeast"/>
      <w:textAlignment w:val="baseline"/>
    </w:pPr>
    <w:rPr>
      <w:rFonts w:ascii="MyriadPro-Regular" w:hAnsi="MyriadPro-Regular" w:cs="MyriadPro-Regular"/>
      <w:color w:val="000000"/>
      <w:sz w:val="16"/>
      <w:szCs w:val="16"/>
      <w:lang w:bidi="en-US"/>
    </w:rPr>
  </w:style>
  <w:style w:type="paragraph" w:customStyle="1" w:styleId="prlmleerdoelenkop">
    <w:name w:val="prlm_leerdoelen_kop"/>
    <w:basedOn w:val="Standaard"/>
    <w:rsid w:val="00475321"/>
    <w:pPr>
      <w:keepNext/>
      <w:widowControl w:val="0"/>
      <w:tabs>
        <w:tab w:val="left" w:pos="227"/>
      </w:tabs>
      <w:suppressAutoHyphens/>
      <w:autoSpaceDE w:val="0"/>
      <w:autoSpaceDN w:val="0"/>
      <w:adjustRightInd w:val="0"/>
      <w:spacing w:before="220" w:line="220" w:lineRule="atLeast"/>
      <w:textAlignment w:val="baseline"/>
    </w:pPr>
    <w:rPr>
      <w:rFonts w:ascii="MyriadPro-Black" w:hAnsi="MyriadPro-Black" w:cs="MyriadPro-Black"/>
      <w:color w:val="000000"/>
      <w:sz w:val="16"/>
      <w:szCs w:val="16"/>
      <w:lang w:bidi="en-US"/>
    </w:rPr>
  </w:style>
  <w:style w:type="paragraph" w:customStyle="1" w:styleId="prlmkop4">
    <w:name w:val="prlm_kop4"/>
    <w:basedOn w:val="prlmnormaalwitvoor"/>
    <w:rsid w:val="008B7467"/>
    <w:pPr>
      <w:widowControl w:val="0"/>
      <w:suppressAutoHyphens/>
      <w:autoSpaceDE w:val="0"/>
      <w:autoSpaceDN w:val="0"/>
      <w:adjustRightInd w:val="0"/>
      <w:spacing w:before="170" w:line="260" w:lineRule="atLeast"/>
      <w:textAlignment w:val="baseline"/>
    </w:pPr>
    <w:rPr>
      <w:rFonts w:ascii="Times New Roman Italic" w:hAnsi="Times New Roman Italic" w:cs="MinionPro-It"/>
      <w:iCs/>
      <w:sz w:val="21"/>
      <w:szCs w:val="21"/>
      <w:lang w:eastAsia="en-US" w:bidi="en-US"/>
    </w:rPr>
  </w:style>
  <w:style w:type="paragraph" w:customStyle="1" w:styleId="prlmtrefwoordenkop">
    <w:name w:val="prlm_trefwoorden_kop"/>
    <w:basedOn w:val="prlmleerdoelenkop"/>
    <w:rsid w:val="00A00A97"/>
  </w:style>
  <w:style w:type="paragraph" w:customStyle="1" w:styleId="prlmtrefwoorden">
    <w:name w:val="prlm_trefwoorden"/>
    <w:basedOn w:val="prlmstart"/>
    <w:rsid w:val="00A00A97"/>
  </w:style>
  <w:style w:type="paragraph" w:customStyle="1" w:styleId="prlmkaderkop2">
    <w:name w:val="prlm_kader_kop2"/>
    <w:basedOn w:val="prlmkaderkop1"/>
    <w:next w:val="prlmkader"/>
    <w:autoRedefine/>
    <w:qFormat/>
    <w:rsid w:val="0004386E"/>
    <w:pPr>
      <w:spacing w:before="120"/>
    </w:pPr>
    <w:rPr>
      <w:i/>
      <w:sz w:val="22"/>
    </w:rPr>
  </w:style>
  <w:style w:type="table" w:styleId="Tabelraster">
    <w:name w:val="Table Grid"/>
    <w:basedOn w:val="Standaardtabel"/>
    <w:uiPriority w:val="59"/>
    <w:rsid w:val="00533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lmasset">
    <w:name w:val="prlm_asset"/>
    <w:basedOn w:val="prlmbijschrift"/>
    <w:next w:val="prlmbijschrift"/>
    <w:qFormat/>
    <w:rsid w:val="00945E0E"/>
    <w:rPr>
      <w:color w:val="FF0000"/>
    </w:rPr>
  </w:style>
  <w:style w:type="paragraph" w:customStyle="1" w:styleId="prlmdruk">
    <w:name w:val="prlm_druk"/>
    <w:basedOn w:val="prlmnormaal"/>
    <w:autoRedefine/>
    <w:qFormat/>
    <w:rsid w:val="00734816"/>
    <w:rPr>
      <w:rFonts w:ascii="Arial" w:hAnsi="Arial"/>
      <w:sz w:val="18"/>
    </w:rPr>
  </w:style>
  <w:style w:type="paragraph" w:customStyle="1" w:styleId="prlminleiding">
    <w:name w:val="prlm_inleiding"/>
    <w:basedOn w:val="prlmsamenvatting"/>
    <w:next w:val="prlmkop1"/>
    <w:autoRedefine/>
    <w:qFormat/>
    <w:rsid w:val="005178FB"/>
    <w:rPr>
      <w:rFonts w:ascii="Verdana" w:hAnsi="Verdana"/>
      <w:color w:val="4A442A"/>
      <w:sz w:val="20"/>
    </w:rPr>
  </w:style>
  <w:style w:type="paragraph" w:customStyle="1" w:styleId="prlminleidingkop">
    <w:name w:val="prlm_inleiding_kop"/>
    <w:basedOn w:val="prlminleiding"/>
    <w:next w:val="prlminleiding"/>
    <w:autoRedefine/>
    <w:qFormat/>
    <w:rsid w:val="00BD3B3A"/>
    <w:pPr>
      <w:spacing w:before="220" w:line="240" w:lineRule="auto"/>
    </w:pPr>
    <w:rPr>
      <w:b/>
      <w:sz w:val="22"/>
    </w:rPr>
  </w:style>
  <w:style w:type="paragraph" w:customStyle="1" w:styleId="prlmhoofdkopsub">
    <w:name w:val="prlm_hoofdkop_sub"/>
    <w:basedOn w:val="prlmhoofdkop"/>
    <w:next w:val="prlmkop1"/>
    <w:autoRedefine/>
    <w:qFormat/>
    <w:rsid w:val="00450B5A"/>
    <w:rPr>
      <w:b w:val="0"/>
      <w:i/>
    </w:rPr>
  </w:style>
  <w:style w:type="paragraph" w:customStyle="1" w:styleId="prlmrubriek">
    <w:name w:val="prlm_rubriek"/>
    <w:basedOn w:val="prlmhoofdkop"/>
    <w:next w:val="prlmhoofdkop"/>
    <w:autoRedefine/>
    <w:qFormat/>
    <w:rsid w:val="00AA5564"/>
    <w:rPr>
      <w:rFonts w:ascii="Verdana" w:hAnsi="Verdana"/>
      <w:color w:val="984806"/>
    </w:rPr>
  </w:style>
  <w:style w:type="paragraph" w:customStyle="1" w:styleId="prlmcitaat">
    <w:name w:val="prlm_citaat"/>
    <w:basedOn w:val="prlmdruk"/>
    <w:next w:val="prlmnormaal"/>
    <w:autoRedefine/>
    <w:qFormat/>
    <w:rsid w:val="00531748"/>
    <w:rPr>
      <w:i/>
      <w:spacing w:val="40"/>
    </w:rPr>
  </w:style>
  <w:style w:type="table" w:customStyle="1" w:styleId="Tabelraster1">
    <w:name w:val="Tabelraster1"/>
    <w:basedOn w:val="Standaardtabel"/>
    <w:next w:val="Tabelraster"/>
    <w:uiPriority w:val="59"/>
    <w:rsid w:val="00065D27"/>
    <w:rPr>
      <w:rFonts w:eastAsia="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65D27"/>
    <w:rPr>
      <w:rFonts w:ascii="Tahoma" w:hAnsi="Tahoma" w:cs="Tahoma"/>
      <w:sz w:val="16"/>
      <w:szCs w:val="16"/>
    </w:rPr>
  </w:style>
  <w:style w:type="character" w:customStyle="1" w:styleId="BallontekstChar">
    <w:name w:val="Ballontekst Char"/>
    <w:basedOn w:val="Standaardalinea-lettertype"/>
    <w:link w:val="Ballontekst"/>
    <w:uiPriority w:val="99"/>
    <w:semiHidden/>
    <w:rsid w:val="00065D2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37029">
      <w:bodyDiv w:val="1"/>
      <w:marLeft w:val="0"/>
      <w:marRight w:val="0"/>
      <w:marTop w:val="0"/>
      <w:marBottom w:val="0"/>
      <w:divBdr>
        <w:top w:val="none" w:sz="0" w:space="0" w:color="auto"/>
        <w:left w:val="none" w:sz="0" w:space="0" w:color="auto"/>
        <w:bottom w:val="none" w:sz="0" w:space="0" w:color="auto"/>
        <w:right w:val="none" w:sz="0" w:space="0" w:color="auto"/>
      </w:divBdr>
    </w:div>
    <w:div w:id="15914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vt\AppData\Roaming\Microsoft\Sjablonen\Sjabloon_binnenwer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CB94-7DAD-4399-9590-8DA50EA4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Sjabloon_binnenwerk</Template>
  <TotalTime>0</TotalTime>
  <Pages>2</Pages>
  <Words>722</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t:lpstr>
    </vt:vector>
  </TitlesOfParts>
  <Company>HP</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ntvt</dc:creator>
  <cp:lastModifiedBy>ntvt</cp:lastModifiedBy>
  <cp:revision>2</cp:revision>
  <dcterms:created xsi:type="dcterms:W3CDTF">2016-03-27T12:42:00Z</dcterms:created>
  <dcterms:modified xsi:type="dcterms:W3CDTF">2016-03-27T12:42:00Z</dcterms:modified>
</cp:coreProperties>
</file>