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C" w:rsidRDefault="00F273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6125"/>
      </w:tblGrid>
      <w:tr w:rsidR="00F273CC" w:rsidRPr="004F6CFB" w:rsidTr="00F273CC">
        <w:tc>
          <w:tcPr>
            <w:tcW w:w="2235" w:type="dxa"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  <w:r w:rsidRPr="004F6CFB">
              <w:rPr>
                <w:b/>
              </w:rPr>
              <w:t>Omschrijving</w:t>
            </w: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  <w:r w:rsidRPr="004F6CFB">
              <w:rPr>
                <w:b/>
              </w:rPr>
              <w:t>Maatregelen</w:t>
            </w:r>
          </w:p>
        </w:tc>
      </w:tr>
      <w:tr w:rsidR="00F273CC" w:rsidRPr="004F6CFB" w:rsidTr="00F273CC">
        <w:tc>
          <w:tcPr>
            <w:tcW w:w="2235" w:type="dxa"/>
            <w:vMerge w:val="restart"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  <w:r w:rsidRPr="004F6CFB">
              <w:rPr>
                <w:b/>
              </w:rPr>
              <w:t>Structuurindicatoren</w:t>
            </w:r>
          </w:p>
        </w:tc>
        <w:tc>
          <w:tcPr>
            <w:tcW w:w="2268" w:type="dxa"/>
            <w:vMerge w:val="restart"/>
          </w:tcPr>
          <w:p w:rsidR="00F273CC" w:rsidRPr="004F6CFB" w:rsidRDefault="00F273CC" w:rsidP="00F273CC">
            <w:pPr>
              <w:pStyle w:val="prlmtabel"/>
            </w:pPr>
            <w:r w:rsidRPr="004F6CFB">
              <w:t>Structuurindicatoren geven aan of het betreffende thema in de organisatiestructuur ingebed</w:t>
            </w: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1. De multidisciplinaire richtlijn Mondzorg is beschikbaar voor alle  medewerkers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2. Mondzorgbeleid is geborgd in het kwaliteitssysteem van de zorginstelling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3. De mondzorg is een vast onderwerp in het zorgplan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4. Per anderhalf jaar worden verzorgenden en verpleegkundigen geschoold in mondverzorging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5. Er is een tandarts beschikbaar voor de cliënten in de instelling</w:t>
            </w:r>
          </w:p>
        </w:tc>
      </w:tr>
      <w:tr w:rsidR="00F273CC" w:rsidRPr="004F6CFB" w:rsidTr="00F273CC">
        <w:tc>
          <w:tcPr>
            <w:tcW w:w="2235" w:type="dxa"/>
            <w:vMerge w:val="restart"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  <w:r w:rsidRPr="004F6CFB">
              <w:rPr>
                <w:b/>
              </w:rPr>
              <w:t>Procesindicatoren</w:t>
            </w:r>
          </w:p>
        </w:tc>
        <w:tc>
          <w:tcPr>
            <w:tcW w:w="2268" w:type="dxa"/>
            <w:vMerge w:val="restart"/>
          </w:tcPr>
          <w:p w:rsidR="00F273CC" w:rsidRPr="004F6CFB" w:rsidRDefault="00F273CC" w:rsidP="00F273CC">
            <w:pPr>
              <w:pStyle w:val="prlmtabel"/>
            </w:pPr>
            <w:r w:rsidRPr="004F6CFB">
              <w:t>Met procesindicatoren worden de handelingen in het zorgproces op cliëntniveau getoetst.</w:t>
            </w: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6. Binnen 24 uur na opname brengt de verzorgende de mondgezondheid en de zelfredzaamheid van de cliënt in kaart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7. De wensen van de cliënt met betrekking tot mondzorg zijn in het zorgdossier vastgelegd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8. Binnen zes weken na opname, of zoveel eerder als nodig is, stelt de tandarts een mondzorgplan op als onderdeel van het integrale zorgplan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9. Professionele mondzorginterventies worden geregistreerd in het zorgdossier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10. Zorgverleners die voor een bepaalde cliënt zorgen, kennen het mondzorgplan en de behandeldoelen van deze cliënt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11. Acties ten aanzien van mondzorg, zoals beschreven in het zorgdossier, zijn of worden uitgevoerd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12. In het multidisciplinair overleg komen de mondverzorging en de mondgezondheid van de cliënt regelmatig aan de orde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13.Er vindt een reguliere periodieke controle plaats van de mondgezondheid van de cliënten, conform het mondzorgplan</w:t>
            </w:r>
          </w:p>
        </w:tc>
        <w:bookmarkStart w:id="0" w:name="_GoBack"/>
        <w:bookmarkEnd w:id="0"/>
      </w:tr>
      <w:tr w:rsidR="00F273CC" w:rsidRPr="004F6CFB" w:rsidTr="00F273CC">
        <w:tc>
          <w:tcPr>
            <w:tcW w:w="2235" w:type="dxa"/>
            <w:vMerge w:val="restart"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  <w:r w:rsidRPr="004F6CFB">
              <w:rPr>
                <w:b/>
              </w:rPr>
              <w:t>Effectindicatoren</w:t>
            </w:r>
          </w:p>
        </w:tc>
        <w:tc>
          <w:tcPr>
            <w:tcW w:w="2268" w:type="dxa"/>
            <w:vMerge w:val="restart"/>
          </w:tcPr>
          <w:p w:rsidR="00F273CC" w:rsidRPr="004F6CFB" w:rsidRDefault="00F273CC" w:rsidP="00F273CC">
            <w:pPr>
              <w:pStyle w:val="prlmtabel"/>
            </w:pPr>
            <w:r w:rsidRPr="004F6CFB">
              <w:t>Effectindicatoren geven informatie over het effect van de</w:t>
            </w:r>
            <w:r>
              <w:t xml:space="preserve"> zorg</w:t>
            </w: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14.De mondzorgdoelen, zoals beschreven in het zorgdossier, zijn bereikt</w:t>
            </w:r>
          </w:p>
        </w:tc>
      </w:tr>
      <w:tr w:rsidR="00F273CC" w:rsidRPr="004F6CFB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Pr="004F6CFB" w:rsidRDefault="00F273CC" w:rsidP="00F273CC">
            <w:pPr>
              <w:pStyle w:val="prlmtabel"/>
            </w:pPr>
            <w:r w:rsidRPr="004F6CFB">
              <w:t>15. De cliënt en zijn naasten zijn tevreden over de geboden mondzorg</w:t>
            </w:r>
          </w:p>
        </w:tc>
      </w:tr>
      <w:tr w:rsidR="00F273CC" w:rsidTr="00F273CC">
        <w:tc>
          <w:tcPr>
            <w:tcW w:w="2235" w:type="dxa"/>
            <w:vMerge/>
          </w:tcPr>
          <w:p w:rsidR="00F273CC" w:rsidRPr="004F6CFB" w:rsidRDefault="00F273CC" w:rsidP="00F273CC">
            <w:pPr>
              <w:pStyle w:val="prlmtabel"/>
              <w:rPr>
                <w:b/>
              </w:rPr>
            </w:pPr>
          </w:p>
        </w:tc>
        <w:tc>
          <w:tcPr>
            <w:tcW w:w="2268" w:type="dxa"/>
            <w:vMerge/>
          </w:tcPr>
          <w:p w:rsidR="00F273CC" w:rsidRPr="004F6CFB" w:rsidRDefault="00F273CC" w:rsidP="00F273CC">
            <w:pPr>
              <w:pStyle w:val="prlmtabel"/>
            </w:pPr>
          </w:p>
        </w:tc>
        <w:tc>
          <w:tcPr>
            <w:tcW w:w="6125" w:type="dxa"/>
          </w:tcPr>
          <w:p w:rsidR="00F273CC" w:rsidRDefault="00F273CC" w:rsidP="00F273CC">
            <w:pPr>
              <w:pStyle w:val="prlmtabel"/>
            </w:pPr>
            <w:r w:rsidRPr="004F6CFB">
              <w:t>16. De betrokken zorgverleners voelen zich gesteund door de instelling bij de uitvoering van de mondzorg</w:t>
            </w:r>
          </w:p>
        </w:tc>
      </w:tr>
    </w:tbl>
    <w:p w:rsidR="00F273CC" w:rsidRPr="00EE7CC2" w:rsidRDefault="00F273CC" w:rsidP="00F273CC">
      <w:pPr>
        <w:pStyle w:val="prlmnormaal"/>
      </w:pPr>
    </w:p>
    <w:sectPr w:rsidR="00F273CC" w:rsidRPr="00EE7CC2" w:rsidSect="00F273CC">
      <w:pgSz w:w="11907" w:h="8391" w:orient="landscape" w:code="11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3CC" w:rsidRDefault="00F273CC">
      <w:r>
        <w:separator/>
      </w:r>
    </w:p>
  </w:endnote>
  <w:endnote w:type="continuationSeparator" w:id="0">
    <w:p w:rsidR="00F273CC" w:rsidRDefault="00F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3CC" w:rsidRDefault="00F273CC">
      <w:r>
        <w:separator/>
      </w:r>
    </w:p>
  </w:footnote>
  <w:footnote w:type="continuationSeparator" w:id="0">
    <w:p w:rsidR="00F273CC" w:rsidRDefault="00F2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C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50B5A"/>
    <w:rsid w:val="004567B8"/>
    <w:rsid w:val="00473D21"/>
    <w:rsid w:val="00475418"/>
    <w:rsid w:val="004779A8"/>
    <w:rsid w:val="0048116A"/>
    <w:rsid w:val="00491279"/>
    <w:rsid w:val="00491874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7D6B"/>
    <w:rsid w:val="00751BA9"/>
    <w:rsid w:val="00764308"/>
    <w:rsid w:val="00772AE1"/>
    <w:rsid w:val="0077340B"/>
    <w:rsid w:val="00774C75"/>
    <w:rsid w:val="00777DC6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01E56"/>
    <w:rsid w:val="00B1654A"/>
    <w:rsid w:val="00B23801"/>
    <w:rsid w:val="00B24304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A5CDE"/>
    <w:rsid w:val="00CD525E"/>
    <w:rsid w:val="00CE1054"/>
    <w:rsid w:val="00CE340A"/>
    <w:rsid w:val="00CF3DC5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A1A17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273CC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273CC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8B7467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Times New Roman Italic" w:hAnsi="Times New Roman Italic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F273CC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8B7467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Times New Roman Italic" w:hAnsi="Times New Roman Italic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vt\AppData\Roaming\Microsoft\Sjablonen\Sjabloon_binnenwerk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2906-E615-4965-A2E5-DD31250B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</Template>
  <TotalTime>3</TotalTime>
  <Pages>1</Pages>
  <Words>258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ntvt</dc:creator>
  <cp:lastModifiedBy>ntvt</cp:lastModifiedBy>
  <cp:revision>1</cp:revision>
  <dcterms:created xsi:type="dcterms:W3CDTF">2016-03-27T12:37:00Z</dcterms:created>
  <dcterms:modified xsi:type="dcterms:W3CDTF">2016-03-27T12:40:00Z</dcterms:modified>
</cp:coreProperties>
</file>